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1B" w:rsidRPr="004100E1" w:rsidRDefault="006E131B" w:rsidP="004100E1">
      <w:pPr>
        <w:spacing w:beforeLines="100" w:afterLines="100" w:line="360" w:lineRule="auto"/>
        <w:rPr>
          <w:rFonts w:asciiTheme="minorEastAsia" w:eastAsiaTheme="minorEastAsia" w:hAnsiTheme="minorEastAsia" w:cs="Times New Roman"/>
          <w:b/>
          <w:sz w:val="21"/>
          <w:szCs w:val="21"/>
        </w:rPr>
      </w:pPr>
      <w:r w:rsidRPr="004100E1">
        <w:rPr>
          <w:rFonts w:asciiTheme="minorEastAsia" w:eastAsiaTheme="minorEastAsia" w:hAnsiTheme="minorEastAsia" w:cs="Times New Roman" w:hint="eastAsia"/>
          <w:b/>
          <w:sz w:val="21"/>
          <w:szCs w:val="21"/>
        </w:rPr>
        <w:t>附件</w:t>
      </w:r>
      <w:r w:rsidR="00724017" w:rsidRPr="004100E1">
        <w:rPr>
          <w:rFonts w:asciiTheme="minorEastAsia" w:eastAsiaTheme="minorEastAsia" w:hAnsiTheme="minorEastAsia" w:cs="Times New Roman" w:hint="eastAsia"/>
          <w:b/>
          <w:sz w:val="21"/>
          <w:szCs w:val="21"/>
        </w:rPr>
        <w:t>1</w:t>
      </w:r>
      <w:r w:rsidRPr="004100E1">
        <w:rPr>
          <w:rFonts w:asciiTheme="minorEastAsia" w:eastAsiaTheme="minorEastAsia" w:hAnsiTheme="minorEastAsia" w:cs="Times New Roman" w:hint="eastAsia"/>
          <w:b/>
          <w:sz w:val="21"/>
          <w:szCs w:val="21"/>
        </w:rPr>
        <w:t>：</w:t>
      </w:r>
    </w:p>
    <w:p w:rsidR="00D05FA2" w:rsidRPr="004100E1" w:rsidRDefault="00D05FA2" w:rsidP="004100E1">
      <w:pPr>
        <w:spacing w:beforeLines="100" w:afterLines="100" w:line="360" w:lineRule="auto"/>
        <w:jc w:val="center"/>
        <w:rPr>
          <w:rFonts w:asciiTheme="minorEastAsia" w:eastAsiaTheme="minorEastAsia" w:hAnsiTheme="minorEastAsia" w:cs="Times New Roman"/>
          <w:b/>
          <w:sz w:val="32"/>
          <w:szCs w:val="32"/>
        </w:rPr>
      </w:pPr>
      <w:r w:rsidRPr="004100E1">
        <w:rPr>
          <w:rFonts w:asciiTheme="minorEastAsia" w:eastAsiaTheme="minorEastAsia" w:hAnsiTheme="minorEastAsia" w:cs="Times New Roman" w:hint="eastAsia"/>
          <w:b/>
          <w:sz w:val="32"/>
          <w:szCs w:val="32"/>
        </w:rPr>
        <w:t xml:space="preserve">     招标内容及技术规范</w:t>
      </w:r>
    </w:p>
    <w:p w:rsidR="00D05FA2" w:rsidRPr="004100E1" w:rsidRDefault="00D05FA2" w:rsidP="00D05FA2">
      <w:pPr>
        <w:spacing w:line="400" w:lineRule="exact"/>
        <w:ind w:leftChars="105" w:left="231" w:firstLineChars="200" w:firstLine="440"/>
        <w:rPr>
          <w:rFonts w:asciiTheme="minorEastAsia" w:eastAsiaTheme="minorEastAsia" w:hAnsiTheme="minorEastAsia"/>
          <w:szCs w:val="21"/>
        </w:rPr>
      </w:pPr>
      <w:bookmarkStart w:id="0" w:name="_Toc16275"/>
      <w:bookmarkStart w:id="1" w:name="_Toc30007"/>
      <w:r w:rsidRPr="004100E1">
        <w:rPr>
          <w:rFonts w:asciiTheme="minorEastAsia" w:eastAsiaTheme="minorEastAsia" w:hAnsiTheme="minorEastAsia" w:hint="eastAsia"/>
          <w:szCs w:val="21"/>
        </w:rPr>
        <w:t>滁州市中西医结合医院中医药科教医技康复综合服务大楼及配套设施位于滁州市会峰东路788号医院院内。拟建项目主要由滁州市中西医结合医院中医药科教医技康复综合服务大楼及配套设施、地下室、连廊组成。</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根据委托方要求，参照《工程场地地震安全性评价》（GB17741—2005）等文件的有关内容，本工程场地的地震安全性评价工作需做如下内容</w:t>
      </w:r>
      <w:r w:rsidRPr="004100E1">
        <w:rPr>
          <w:rFonts w:asciiTheme="minorEastAsia" w:eastAsiaTheme="minorEastAsia" w:hAnsiTheme="minorEastAsia" w:cs="Times New Roman" w:hint="eastAsia"/>
          <w:b/>
          <w:color w:val="FF0000"/>
          <w:szCs w:val="21"/>
        </w:rPr>
        <w:t>（包括但不仅限于）</w:t>
      </w:r>
      <w:r w:rsidRPr="004100E1">
        <w:rPr>
          <w:rFonts w:asciiTheme="minorEastAsia" w:eastAsiaTheme="minorEastAsia" w:hAnsiTheme="minorEastAsia" w:cs="Times New Roman" w:hint="eastAsia"/>
          <w:szCs w:val="21"/>
        </w:rPr>
        <w:t>：</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一、主要技术指标</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1、本工程场地的地震安全性评价工作依据中华人民共和国国家标准的《工程场地地震安全性评价 (GB17741—2005)》进行工作。</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2、成果报告符合《工程场地地震安全性评价工作报告编写要求》。</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3、对影响拟建场地的活动断层的性质（包括断层产状、延伸方向及活动性）、规模、分布位置及其对工程的影响提出明确意见。</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4、对工程场地的地震动峰值加速度，地震动反应谱特征周期提出明确的结论。</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二、工作方案及内容</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w:t>
      </w:r>
      <w:r w:rsidRPr="004100E1">
        <w:rPr>
          <w:rFonts w:asciiTheme="minorEastAsia" w:eastAsiaTheme="minorEastAsia" w:hAnsiTheme="minorEastAsia" w:cs="Times New Roman" w:hint="eastAsia"/>
          <w:szCs w:val="21"/>
        </w:rPr>
        <w:tab/>
        <w:t>区域地震活动性和地震构造</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1.1研究范围与图件比例尺</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根据《工程场地地震安全性评价（GB17741-2005）》，区域范围是指工程场地周围不小于 150 公里的范围，比例尺采用 1∶100 万。部分对精度要求稍低的图件，可采用较小的比例尺。图件上标明工程场地位置。</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1.2</w:t>
      </w:r>
      <w:r w:rsidRPr="004100E1">
        <w:rPr>
          <w:rFonts w:asciiTheme="minorEastAsia" w:eastAsiaTheme="minorEastAsia" w:hAnsiTheme="minorEastAsia" w:cs="Times New Roman" w:hint="eastAsia"/>
          <w:szCs w:val="21"/>
        </w:rPr>
        <w:tab/>
        <w:t>区域地震活动性</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编制区域地震目录，编制区域地震震中分布图，分析地震活动时间、特征，编制震源机制分布图，收集分析历史地震的场地烈度资料。</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1.3区域地震构造</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lastRenderedPageBreak/>
        <w:t>编制区域地震构造图，区域大地构造单元划分及其它图件，论述区域地震构造的活动性及与地震活动的关系。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1.4地震区、带划分</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根据上述工作，划分出地震区和地震带。</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1.5区域地震构造综合评价</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根据上述工作结果，对区域不同震级地震构造进行综合评价分析。</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2</w:t>
      </w:r>
      <w:r w:rsidRPr="004100E1">
        <w:rPr>
          <w:rFonts w:asciiTheme="minorEastAsia" w:eastAsiaTheme="minorEastAsia" w:hAnsiTheme="minorEastAsia" w:cs="Times New Roman" w:hint="eastAsia"/>
          <w:szCs w:val="21"/>
        </w:rPr>
        <w:tab/>
        <w:t>近场地震活动性和地震构造</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2.1研究范围与图件比例尺</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根据《工程场地地震安全性评价（GB17741-2005）》，近场范围是指工程场地周围不小于 25 公里的范围，比例尺采用 1∶20 万。对现场工作要求高的图件采用大的比例尺。</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2.2</w:t>
      </w:r>
      <w:r w:rsidRPr="004100E1">
        <w:rPr>
          <w:rFonts w:asciiTheme="minorEastAsia" w:eastAsiaTheme="minorEastAsia" w:hAnsiTheme="minorEastAsia" w:cs="Times New Roman" w:hint="eastAsia"/>
          <w:szCs w:val="21"/>
        </w:rPr>
        <w:tab/>
        <w:t>近场地震活动性</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确定破坏性地震的位置和强度，编制震中分布图，分析地震与活动构造的关系。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2.3</w:t>
      </w:r>
      <w:r w:rsidRPr="004100E1">
        <w:rPr>
          <w:rFonts w:asciiTheme="minorEastAsia" w:eastAsiaTheme="minorEastAsia" w:hAnsiTheme="minorEastAsia" w:cs="Times New Roman" w:hint="eastAsia"/>
          <w:szCs w:val="21"/>
        </w:rPr>
        <w:tab/>
        <w:t>近场地震活动断层鉴定</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对通过场地及其附近的主要断层进行断层活动性鉴定，通过地球化学勘探和地球物理勘探，探明其准确位置和产状；对埋藏浅的活动断层，通过浅钻剖面和探槽，采集测年样品，进行断层活动时代鉴定；对断层的活动时代、性质、运动特征等进行综合分析。近场地震构造综合评价</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编制近场地震构造图，对近场地震构造作出综合评价。</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3 地震烈度与地震动衰减关系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3.1 地震烈度衰减关系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选择有仪器记录的可靠的烈度资料，采用椭圆模型，统计烈度衰减关系。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3.2 基岩地震动衰减关系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lastRenderedPageBreak/>
        <w:t>由于本区缺乏强震记录，本工程采用烈度-加速度转换法确定基岩地震动参数衰减关系，包括基岩地震加速度峰值衰减关系和反应谱衰减关系。</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 地震危险性概率分析</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4.1 潜在震源区划分</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综合考虑地震活动性和地震地质研究结果，在地震区、带的基础上划分潜在震源区。</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4.2 地震活动性参数的确定</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地震活动性参数包括地震带的震级上限、b 值、地震年平均发生率，潜在震源区的震级上限、各震级档地震年平均发生率的权系数、起算震级，本底地震和年平均发生率。</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4.3 地震危险性概率计算</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采用概率地震危险性分析方法，根据统计出的衰减关系和地震活动性参数据，计算场地地震烈度和地震参数年超越概率。</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4.4 不确定性校正</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主要针对衰减关系的不确定性进行校正。</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4.5 结果表述及评价</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给出各潜源的贡献，给出各计算点不同年限，不同超越概率的地震烈度和地震动参数值，给出沿线地震烈度区划图。</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5 场地基岩地震动参数确定</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5.1通过概率地震危险性分析，计算出三个不同超越概率水平的场地基岩加速度反应谱。</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5.2每一超越概率水平应人工合成三个以上的相互独立的基岩地震动时程，控制点谱的相对误差应小于 5%。</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6 场地工程地震条件</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6.1 场地勘察</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lastRenderedPageBreak/>
        <w:t>现场调查、收集、整理、分析工程地质、水文地质、地形地貌和地质构造条件，编制钻孔分布图，钻孔柱状图，工程地质分区图，钻孔深度宜达到基岩或剪切波速大于 500m/s。</w:t>
      </w:r>
    </w:p>
    <w:p w:rsidR="00D05FA2" w:rsidRPr="004100E1" w:rsidRDefault="00D05FA2" w:rsidP="00D05FA2">
      <w:pPr>
        <w:spacing w:line="400" w:lineRule="exact"/>
        <w:ind w:firstLineChars="300" w:firstLine="66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6.2场地土动力性能测定</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6.3场地土层剪切波速测试</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拟在工程场地主要位置布置 3 口钻孔，并进行剪切波速测试，要求测到剪切波速超过 500 米/秒的层位。据测试结果，判别场地土类型和建筑场地类别。</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6.4 场地工程地震条件评价综合分析场地地震地质、工程地质、水文地质、地形地貌特征，对工程场地的工程地震条件进行综合评价。</w:t>
      </w:r>
    </w:p>
    <w:p w:rsidR="00D05FA2" w:rsidRPr="004100E1" w:rsidRDefault="00D05FA2" w:rsidP="00D05FA2">
      <w:pPr>
        <w:spacing w:line="400" w:lineRule="exact"/>
        <w:ind w:leftChars="105" w:left="231" w:firstLineChars="200" w:firstLine="440"/>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该项目地震安全性研究具体工作量清单</w:t>
      </w:r>
      <w:r w:rsidRPr="004100E1">
        <w:rPr>
          <w:rFonts w:asciiTheme="minorEastAsia" w:eastAsiaTheme="minorEastAsia" w:hAnsiTheme="minorEastAsia" w:cs="Times New Roman" w:hint="eastAsia"/>
          <w:b/>
          <w:color w:val="FF0000"/>
          <w:szCs w:val="21"/>
        </w:rPr>
        <w:t>（包括但不仅限于）</w:t>
      </w:r>
      <w:r w:rsidRPr="004100E1">
        <w:rPr>
          <w:rFonts w:asciiTheme="minorEastAsia" w:eastAsiaTheme="minorEastAsia" w:hAnsiTheme="minorEastAsia" w:cs="Times New Roman" w:hint="eastAsia"/>
          <w:szCs w:val="21"/>
        </w:rPr>
        <w:t>：</w:t>
      </w:r>
    </w:p>
    <w:tbl>
      <w:tblPr>
        <w:tblW w:w="0" w:type="auto"/>
        <w:tblLayout w:type="fixed"/>
        <w:tblLook w:val="0000"/>
      </w:tblPr>
      <w:tblGrid>
        <w:gridCol w:w="9468"/>
      </w:tblGrid>
      <w:tr w:rsidR="00D05FA2" w:rsidRPr="004100E1" w:rsidTr="00B0314C">
        <w:tc>
          <w:tcPr>
            <w:tcW w:w="9468" w:type="dxa"/>
          </w:tcPr>
          <w:p w:rsidR="00D05FA2" w:rsidRPr="004100E1" w:rsidRDefault="00D05FA2" w:rsidP="00D05FA2">
            <w:pPr>
              <w:widowControl w:val="0"/>
              <w:numPr>
                <w:ilvl w:val="0"/>
                <w:numId w:val="1"/>
              </w:numPr>
              <w:adjustRightInd/>
              <w:snapToGrid/>
              <w:spacing w:after="0" w:line="360" w:lineRule="exact"/>
              <w:jc w:val="both"/>
              <w:rPr>
                <w:rFonts w:asciiTheme="minorEastAsia" w:eastAsiaTheme="minorEastAsia" w:hAnsiTheme="minorEastAsia" w:cs="Times New Roman"/>
                <w:b/>
                <w:szCs w:val="21"/>
              </w:rPr>
            </w:pPr>
            <w:r w:rsidRPr="004100E1">
              <w:rPr>
                <w:rFonts w:asciiTheme="minorEastAsia" w:eastAsiaTheme="minorEastAsia" w:hAnsiTheme="minorEastAsia" w:cs="Times New Roman" w:hint="eastAsia"/>
                <w:szCs w:val="21"/>
              </w:rPr>
              <w:t xml:space="preserve"> </w:t>
            </w:r>
            <w:r w:rsidRPr="004100E1">
              <w:rPr>
                <w:rFonts w:asciiTheme="minorEastAsia" w:eastAsiaTheme="minorEastAsia" w:hAnsiTheme="minorEastAsia" w:cs="Times New Roman" w:hint="eastAsia"/>
                <w:b/>
                <w:szCs w:val="21"/>
              </w:rPr>
              <w:t>区域地震活动性和地震构造分析</w:t>
            </w:r>
          </w:p>
          <w:p w:rsidR="00D05FA2" w:rsidRPr="004100E1" w:rsidRDefault="00D05FA2" w:rsidP="00B0314C">
            <w:pPr>
              <w:spacing w:line="360" w:lineRule="exact"/>
              <w:rPr>
                <w:rFonts w:asciiTheme="minorEastAsia" w:eastAsiaTheme="minorEastAsia" w:hAnsiTheme="minorEastAsia" w:cs="Times New Roman"/>
                <w:b/>
                <w:szCs w:val="21"/>
              </w:rPr>
            </w:pPr>
            <w:r w:rsidRPr="004100E1">
              <w:rPr>
                <w:rFonts w:asciiTheme="minorEastAsia" w:eastAsiaTheme="minorEastAsia" w:hAnsiTheme="minorEastAsia" w:cs="Times New Roman" w:hint="eastAsia"/>
                <w:b/>
                <w:szCs w:val="21"/>
              </w:rPr>
              <w:t>（面积小于9万平方公里）</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1．区域地震活动性分析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2．区域地震构造调查与综合分析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3．地震区、带划分</w:t>
            </w:r>
          </w:p>
        </w:tc>
      </w:tr>
      <w:tr w:rsidR="00D05FA2" w:rsidRPr="004100E1" w:rsidTr="00B0314C">
        <w:tc>
          <w:tcPr>
            <w:tcW w:w="9468" w:type="dxa"/>
          </w:tcPr>
          <w:p w:rsidR="00D05FA2" w:rsidRPr="004100E1" w:rsidRDefault="00D05FA2" w:rsidP="00D05FA2">
            <w:pPr>
              <w:widowControl w:val="0"/>
              <w:numPr>
                <w:ilvl w:val="0"/>
                <w:numId w:val="2"/>
              </w:numPr>
              <w:adjustRightInd/>
              <w:snapToGrid/>
              <w:spacing w:after="0" w:line="360" w:lineRule="exact"/>
              <w:jc w:val="both"/>
              <w:rPr>
                <w:rFonts w:asciiTheme="minorEastAsia" w:eastAsiaTheme="minorEastAsia" w:hAnsiTheme="minorEastAsia" w:cs="Times New Roman"/>
                <w:b/>
                <w:szCs w:val="21"/>
              </w:rPr>
            </w:pPr>
            <w:r w:rsidRPr="004100E1">
              <w:rPr>
                <w:rFonts w:asciiTheme="minorEastAsia" w:eastAsiaTheme="minorEastAsia" w:hAnsiTheme="minorEastAsia" w:cs="Times New Roman" w:hint="eastAsia"/>
                <w:b/>
                <w:szCs w:val="21"/>
              </w:rPr>
              <w:t>近场场区地震活动性与地震构造分析</w:t>
            </w:r>
          </w:p>
          <w:p w:rsidR="00D05FA2" w:rsidRPr="004100E1" w:rsidRDefault="00D05FA2" w:rsidP="00B0314C">
            <w:pPr>
              <w:spacing w:line="360" w:lineRule="exact"/>
              <w:rPr>
                <w:rFonts w:asciiTheme="minorEastAsia" w:eastAsiaTheme="minorEastAsia" w:hAnsiTheme="minorEastAsia" w:cs="Times New Roman"/>
                <w:b/>
                <w:szCs w:val="21"/>
              </w:rPr>
            </w:pPr>
            <w:r w:rsidRPr="004100E1">
              <w:rPr>
                <w:rFonts w:asciiTheme="minorEastAsia" w:eastAsiaTheme="minorEastAsia" w:hAnsiTheme="minorEastAsia" w:cs="Times New Roman" w:hint="eastAsia"/>
                <w:b/>
                <w:szCs w:val="21"/>
              </w:rPr>
              <w:t>（近场区小于250平方公里，场区小于2平方公里）</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1．近场区地震活动性分析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2．近场和场区地震构造综合分析</w:t>
            </w:r>
          </w:p>
        </w:tc>
      </w:tr>
      <w:tr w:rsidR="00D05FA2" w:rsidRPr="004100E1" w:rsidTr="00B0314C">
        <w:trPr>
          <w:trHeight w:val="90"/>
        </w:trPr>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3．近场和场区地震构造研究</w:t>
            </w:r>
          </w:p>
        </w:tc>
      </w:tr>
      <w:tr w:rsidR="00D05FA2" w:rsidRPr="004100E1" w:rsidTr="00B0314C">
        <w:tc>
          <w:tcPr>
            <w:tcW w:w="9468" w:type="dxa"/>
          </w:tcPr>
          <w:p w:rsidR="00D05FA2" w:rsidRPr="004100E1" w:rsidRDefault="00D05FA2" w:rsidP="00B0314C">
            <w:pPr>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地电勘探1.0km*1</w:t>
            </w:r>
          </w:p>
        </w:tc>
      </w:tr>
      <w:tr w:rsidR="00D05FA2" w:rsidRPr="004100E1" w:rsidTr="00B0314C">
        <w:tc>
          <w:tcPr>
            <w:tcW w:w="9468" w:type="dxa"/>
          </w:tcPr>
          <w:p w:rsidR="00D05FA2" w:rsidRPr="004100E1" w:rsidRDefault="00D05FA2" w:rsidP="00B0314C">
            <w:pPr>
              <w:rPr>
                <w:rFonts w:asciiTheme="minorEastAsia" w:eastAsiaTheme="minorEastAsia" w:hAnsiTheme="minorEastAsia" w:cs="Times New Roman"/>
                <w:szCs w:val="21"/>
              </w:rPr>
            </w:pPr>
            <w:r w:rsidRPr="004100E1">
              <w:rPr>
                <w:rFonts w:asciiTheme="minorEastAsia" w:eastAsiaTheme="minorEastAsia" w:hAnsiTheme="minorEastAsia" w:cs="Times New Roman" w:hint="eastAsia"/>
                <w:b/>
                <w:szCs w:val="21"/>
              </w:rPr>
              <w:t>三、场地工程地震条件评价（场区小于2平方公里）</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1．场地土动力性质及常规测定</w:t>
            </w:r>
          </w:p>
        </w:tc>
      </w:tr>
      <w:tr w:rsidR="00D05FA2" w:rsidRPr="004100E1" w:rsidTr="00B0314C">
        <w:tc>
          <w:tcPr>
            <w:tcW w:w="9468" w:type="dxa"/>
            <w:vAlign w:val="center"/>
          </w:tcPr>
          <w:p w:rsidR="00D05FA2" w:rsidRPr="004100E1" w:rsidRDefault="00D05FA2" w:rsidP="00D05FA2">
            <w:pPr>
              <w:autoSpaceDN w:val="0"/>
              <w:ind w:firstLineChars="150" w:firstLine="33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场地脉动勘测</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w:t>
            </w:r>
            <w:r w:rsidRPr="004100E1">
              <w:rPr>
                <w:rFonts w:asciiTheme="minorEastAsia" w:eastAsiaTheme="minorEastAsia" w:hAnsiTheme="minorEastAsia" w:cs="Times New Roman"/>
                <w:color w:val="0000FF"/>
                <w:szCs w:val="21"/>
              </w:rPr>
              <w:t>．</w:t>
            </w:r>
            <w:r w:rsidRPr="004100E1">
              <w:rPr>
                <w:rFonts w:asciiTheme="minorEastAsia" w:eastAsiaTheme="minorEastAsia" w:hAnsiTheme="minorEastAsia" w:cs="Times New Roman"/>
                <w:szCs w:val="21"/>
              </w:rPr>
              <w:t>场地工程地震条件评价</w:t>
            </w:r>
          </w:p>
        </w:tc>
      </w:tr>
      <w:tr w:rsidR="00D05FA2" w:rsidRPr="004100E1" w:rsidTr="00B0314C">
        <w:tc>
          <w:tcPr>
            <w:tcW w:w="9468" w:type="dxa"/>
            <w:vAlign w:val="center"/>
          </w:tcPr>
          <w:p w:rsidR="00D05FA2" w:rsidRPr="004100E1" w:rsidRDefault="00D05FA2" w:rsidP="00D05FA2">
            <w:pPr>
              <w:autoSpaceDN w:val="0"/>
              <w:ind w:firstLineChars="150" w:firstLine="33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分析计算、综合研究</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b/>
                <w:szCs w:val="21"/>
              </w:rPr>
              <w:t>四、地震烈度与地震动衰减关系分析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lastRenderedPageBreak/>
              <w:t>1.地震烈度衰减关系确定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2.基岩地震动衰减关系确定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b/>
                <w:szCs w:val="21"/>
              </w:rPr>
              <w:t>五、地震危险性概率分析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1.潜在震源区划分</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2.地震活动性参数确定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3.地震危险性概率分析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4.不确定性校正</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5.综合评价</w:t>
            </w:r>
          </w:p>
        </w:tc>
      </w:tr>
      <w:tr w:rsidR="00D05FA2" w:rsidRPr="004100E1" w:rsidTr="00B0314C">
        <w:tc>
          <w:tcPr>
            <w:tcW w:w="9468" w:type="dxa"/>
            <w:vAlign w:val="center"/>
          </w:tcPr>
          <w:p w:rsidR="00D05FA2" w:rsidRPr="004100E1" w:rsidRDefault="00D05FA2" w:rsidP="00B0314C">
            <w:pPr>
              <w:autoSpaceDN w:val="0"/>
              <w:spacing w:line="360" w:lineRule="exact"/>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b/>
                <w:szCs w:val="21"/>
              </w:rPr>
              <w:t>六、场地基岩地震动参数确定</w:t>
            </w:r>
            <w:r w:rsidRPr="004100E1">
              <w:rPr>
                <w:rFonts w:asciiTheme="minorEastAsia" w:eastAsiaTheme="minorEastAsia" w:hAnsiTheme="minorEastAsia" w:cs="Times New Roman"/>
                <w:b/>
                <w:szCs w:val="21"/>
              </w:rPr>
              <w:br/>
              <w:t>（</w:t>
            </w:r>
            <w:r w:rsidRPr="004100E1">
              <w:rPr>
                <w:rFonts w:asciiTheme="minorEastAsia" w:eastAsiaTheme="minorEastAsia" w:hAnsiTheme="minorEastAsia" w:cs="Times New Roman"/>
                <w:bCs/>
                <w:szCs w:val="21"/>
              </w:rPr>
              <w:t>50年超越概率为63%、10%、2%</w:t>
            </w:r>
            <w:r w:rsidRPr="004100E1">
              <w:rPr>
                <w:rFonts w:asciiTheme="minorEastAsia" w:eastAsiaTheme="minorEastAsia" w:hAnsiTheme="minorEastAsia" w:cs="Times New Roman"/>
                <w:b/>
                <w:szCs w:val="21"/>
              </w:rPr>
              <w:t>）</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1.基岩反应谱衰减关系确定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2.基岩目标反应谱和形状函数确定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3.基岩加速度时程</w:t>
            </w:r>
          </w:p>
        </w:tc>
      </w:tr>
      <w:tr w:rsidR="00D05FA2" w:rsidRPr="004100E1" w:rsidTr="00B0314C">
        <w:tc>
          <w:tcPr>
            <w:tcW w:w="9468" w:type="dxa"/>
            <w:vAlign w:val="center"/>
          </w:tcPr>
          <w:p w:rsidR="00D05FA2" w:rsidRPr="004100E1" w:rsidRDefault="00D05FA2" w:rsidP="00D05FA2">
            <w:pPr>
              <w:widowControl w:val="0"/>
              <w:numPr>
                <w:ilvl w:val="0"/>
                <w:numId w:val="3"/>
              </w:numPr>
              <w:autoSpaceDN w:val="0"/>
              <w:adjustRightInd/>
              <w:snapToGrid/>
              <w:spacing w:after="0"/>
              <w:textAlignment w:val="center"/>
              <w:rPr>
                <w:rFonts w:asciiTheme="minorEastAsia" w:eastAsiaTheme="minorEastAsia" w:hAnsiTheme="minorEastAsia" w:cs="Times New Roman"/>
                <w:b/>
                <w:szCs w:val="21"/>
              </w:rPr>
            </w:pPr>
            <w:r w:rsidRPr="004100E1">
              <w:rPr>
                <w:rFonts w:asciiTheme="minorEastAsia" w:eastAsiaTheme="minorEastAsia" w:hAnsiTheme="minorEastAsia" w:cs="Times New Roman"/>
                <w:b/>
                <w:szCs w:val="21"/>
              </w:rPr>
              <w:t>场地设计地震动参数确定</w:t>
            </w:r>
          </w:p>
          <w:p w:rsidR="00D05FA2" w:rsidRPr="004100E1" w:rsidRDefault="00D05FA2" w:rsidP="00B0314C">
            <w:pPr>
              <w:autoSpaceDN w:val="0"/>
              <w:textAlignment w:val="center"/>
              <w:rPr>
                <w:rFonts w:asciiTheme="minorEastAsia" w:eastAsiaTheme="minorEastAsia" w:hAnsiTheme="minorEastAsia" w:cs="Times New Roman"/>
                <w:b/>
                <w:szCs w:val="21"/>
              </w:rPr>
            </w:pPr>
            <w:r w:rsidRPr="004100E1">
              <w:rPr>
                <w:rFonts w:asciiTheme="minorEastAsia" w:eastAsiaTheme="minorEastAsia" w:hAnsiTheme="minorEastAsia" w:cs="Times New Roman"/>
                <w:b/>
                <w:szCs w:val="21"/>
              </w:rPr>
              <w:t>（</w:t>
            </w:r>
            <w:r w:rsidRPr="004100E1">
              <w:rPr>
                <w:rFonts w:asciiTheme="minorEastAsia" w:eastAsiaTheme="minorEastAsia" w:hAnsiTheme="minorEastAsia" w:cs="Times New Roman"/>
                <w:bCs/>
                <w:szCs w:val="21"/>
              </w:rPr>
              <w:t>50年超越概率为63%、10%、2%</w:t>
            </w:r>
            <w:r w:rsidRPr="004100E1">
              <w:rPr>
                <w:rFonts w:asciiTheme="minorEastAsia" w:eastAsiaTheme="minorEastAsia" w:hAnsiTheme="minorEastAsia" w:cs="Times New Roman" w:hint="eastAsia"/>
                <w:bCs/>
                <w:szCs w:val="21"/>
              </w:rPr>
              <w:t>）</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1.计算模型及模型参数确定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2.场地地震动效应分析</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3.地震动参数与场地相关反应谱确定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4.场地设计地震动参数确定</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5.设计加速度时程</w:t>
            </w:r>
          </w:p>
        </w:tc>
      </w:tr>
      <w:tr w:rsidR="00D05FA2" w:rsidRPr="004100E1" w:rsidTr="00B0314C">
        <w:tc>
          <w:tcPr>
            <w:tcW w:w="9468" w:type="dxa"/>
          </w:tcPr>
          <w:p w:rsidR="00D05FA2" w:rsidRPr="004100E1" w:rsidRDefault="00D05FA2" w:rsidP="00D05FA2">
            <w:pPr>
              <w:widowControl w:val="0"/>
              <w:numPr>
                <w:ilvl w:val="0"/>
                <w:numId w:val="4"/>
              </w:numPr>
              <w:adjustRightInd/>
              <w:snapToGrid/>
              <w:spacing w:after="0" w:line="360" w:lineRule="exact"/>
              <w:jc w:val="both"/>
              <w:rPr>
                <w:rFonts w:asciiTheme="minorEastAsia" w:eastAsiaTheme="minorEastAsia" w:hAnsiTheme="minorEastAsia" w:cs="Times New Roman"/>
                <w:b/>
                <w:szCs w:val="21"/>
              </w:rPr>
            </w:pPr>
            <w:r w:rsidRPr="004100E1">
              <w:rPr>
                <w:rFonts w:asciiTheme="minorEastAsia" w:eastAsiaTheme="minorEastAsia" w:hAnsiTheme="minorEastAsia" w:cs="Times New Roman" w:hint="eastAsia"/>
                <w:b/>
                <w:szCs w:val="21"/>
              </w:rPr>
              <w:t>地震地质灾害评价</w:t>
            </w:r>
          </w:p>
        </w:tc>
      </w:tr>
      <w:tr w:rsidR="00D05FA2" w:rsidRPr="004100E1" w:rsidTr="00B0314C">
        <w:tc>
          <w:tcPr>
            <w:tcW w:w="9468" w:type="dxa"/>
            <w:vAlign w:val="center"/>
          </w:tcPr>
          <w:p w:rsidR="00D05FA2" w:rsidRPr="004100E1" w:rsidRDefault="00D05FA2" w:rsidP="00B0314C">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szCs w:val="21"/>
              </w:rPr>
              <w:t>地震地质灾害评估</w:t>
            </w:r>
          </w:p>
        </w:tc>
      </w:tr>
    </w:tbl>
    <w:p w:rsidR="00D05FA2" w:rsidRPr="004100E1" w:rsidRDefault="00D05FA2" w:rsidP="00D05FA2">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7.提交成果</w:t>
      </w:r>
    </w:p>
    <w:p w:rsidR="00D05FA2" w:rsidRPr="004100E1" w:rsidRDefault="00D05FA2" w:rsidP="00D05FA2">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7.1正式研究报告8份；</w:t>
      </w:r>
    </w:p>
    <w:p w:rsidR="00D05FA2" w:rsidRPr="004100E1" w:rsidRDefault="00D05FA2" w:rsidP="00D05FA2">
      <w:pPr>
        <w:autoSpaceDN w:val="0"/>
        <w:textAlignment w:val="center"/>
        <w:rPr>
          <w:rFonts w:asciiTheme="minorEastAsia" w:eastAsiaTheme="minorEastAsia" w:hAnsiTheme="minorEastAsia" w:cs="Times New Roman"/>
          <w:szCs w:val="21"/>
        </w:rPr>
      </w:pPr>
      <w:r w:rsidRPr="004100E1">
        <w:rPr>
          <w:rFonts w:asciiTheme="minorEastAsia" w:eastAsiaTheme="minorEastAsia" w:hAnsiTheme="minorEastAsia" w:cs="Times New Roman" w:hint="eastAsia"/>
          <w:szCs w:val="21"/>
        </w:rPr>
        <w:t>7.2</w:t>
      </w:r>
      <w:r w:rsidR="00724017" w:rsidRPr="004100E1">
        <w:rPr>
          <w:rFonts w:asciiTheme="minorEastAsia" w:eastAsiaTheme="minorEastAsia" w:hAnsiTheme="minorEastAsia" w:cs="Times New Roman" w:hint="eastAsia"/>
          <w:szCs w:val="21"/>
        </w:rPr>
        <w:t>提交的成果需通过相关主管单位或部门认定。</w:t>
      </w:r>
      <w:bookmarkEnd w:id="0"/>
      <w:bookmarkEnd w:id="1"/>
    </w:p>
    <w:sectPr w:rsidR="00D05FA2" w:rsidRPr="004100E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47" w:rsidRDefault="00706847" w:rsidP="00D05FA2">
      <w:pPr>
        <w:spacing w:after="0"/>
      </w:pPr>
      <w:r>
        <w:separator/>
      </w:r>
    </w:p>
  </w:endnote>
  <w:endnote w:type="continuationSeparator" w:id="0">
    <w:p w:rsidR="00706847" w:rsidRDefault="00706847" w:rsidP="00D05F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47" w:rsidRDefault="00706847" w:rsidP="00D05FA2">
      <w:pPr>
        <w:spacing w:after="0"/>
      </w:pPr>
      <w:r>
        <w:separator/>
      </w:r>
    </w:p>
  </w:footnote>
  <w:footnote w:type="continuationSeparator" w:id="0">
    <w:p w:rsidR="00706847" w:rsidRDefault="00706847" w:rsidP="00D05F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3BA"/>
    <w:multiLevelType w:val="multilevel"/>
    <w:tmpl w:val="237503BA"/>
    <w:lvl w:ilvl="0">
      <w:start w:val="1"/>
      <w:numFmt w:val="japaneseCounting"/>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6B7C09"/>
    <w:multiLevelType w:val="singleLevel"/>
    <w:tmpl w:val="526B7C09"/>
    <w:lvl w:ilvl="0">
      <w:start w:val="1"/>
      <w:numFmt w:val="chineseCounting"/>
      <w:suff w:val="nothing"/>
      <w:lvlText w:val="%1、"/>
      <w:lvlJc w:val="left"/>
    </w:lvl>
  </w:abstractNum>
  <w:abstractNum w:abstractNumId="2">
    <w:nsid w:val="526B7C43"/>
    <w:multiLevelType w:val="singleLevel"/>
    <w:tmpl w:val="526B7C43"/>
    <w:lvl w:ilvl="0">
      <w:start w:val="2"/>
      <w:numFmt w:val="chineseCounting"/>
      <w:suff w:val="nothing"/>
      <w:lvlText w:val="%1、"/>
      <w:lvlJc w:val="left"/>
    </w:lvl>
  </w:abstractNum>
  <w:abstractNum w:abstractNumId="3">
    <w:nsid w:val="526B834B"/>
    <w:multiLevelType w:val="singleLevel"/>
    <w:tmpl w:val="526B834B"/>
    <w:lvl w:ilvl="0">
      <w:start w:val="8"/>
      <w:numFmt w:val="chineseCounting"/>
      <w:suff w:val="nothing"/>
      <w:lvlText w:val="%1、"/>
      <w:lvlJc w:val="left"/>
    </w:lvl>
  </w:abstractNum>
  <w:abstractNum w:abstractNumId="4">
    <w:nsid w:val="52B3C08A"/>
    <w:multiLevelType w:val="singleLevel"/>
    <w:tmpl w:val="52B3C08A"/>
    <w:lvl w:ilvl="0">
      <w:start w:val="7"/>
      <w:numFmt w:val="chineseCounting"/>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323B43"/>
    <w:rsid w:val="003D37D8"/>
    <w:rsid w:val="004100E1"/>
    <w:rsid w:val="00426133"/>
    <w:rsid w:val="004358AB"/>
    <w:rsid w:val="005D70C0"/>
    <w:rsid w:val="00650773"/>
    <w:rsid w:val="00695742"/>
    <w:rsid w:val="006E131B"/>
    <w:rsid w:val="00706847"/>
    <w:rsid w:val="00724017"/>
    <w:rsid w:val="007A40BE"/>
    <w:rsid w:val="007E5CEA"/>
    <w:rsid w:val="008B7726"/>
    <w:rsid w:val="008B7C8C"/>
    <w:rsid w:val="009D2ED3"/>
    <w:rsid w:val="00B51F5E"/>
    <w:rsid w:val="00C5142F"/>
    <w:rsid w:val="00C528F0"/>
    <w:rsid w:val="00D05FA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D05FA2"/>
    <w:pPr>
      <w:keepNext/>
      <w:keepLines/>
      <w:adjustRightInd/>
      <w:snapToGrid/>
      <w:spacing w:before="340" w:after="330" w:line="578" w:lineRule="atLeast"/>
      <w:jc w:val="both"/>
      <w:textAlignment w:val="baseline"/>
      <w:outlineLvl w:val="0"/>
    </w:pPr>
    <w:rPr>
      <w:rFonts w:ascii="Times New Roman" w:eastAsia="宋体" w:hAnsi="Times New Roman" w:cs="Times New Roman"/>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F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05FA2"/>
    <w:rPr>
      <w:rFonts w:ascii="Tahoma" w:hAnsi="Tahoma"/>
      <w:sz w:val="18"/>
      <w:szCs w:val="18"/>
    </w:rPr>
  </w:style>
  <w:style w:type="paragraph" w:styleId="a4">
    <w:name w:val="footer"/>
    <w:basedOn w:val="a"/>
    <w:link w:val="Char0"/>
    <w:uiPriority w:val="99"/>
    <w:semiHidden/>
    <w:unhideWhenUsed/>
    <w:rsid w:val="00D05FA2"/>
    <w:pPr>
      <w:tabs>
        <w:tab w:val="center" w:pos="4153"/>
        <w:tab w:val="right" w:pos="8306"/>
      </w:tabs>
    </w:pPr>
    <w:rPr>
      <w:sz w:val="18"/>
      <w:szCs w:val="18"/>
    </w:rPr>
  </w:style>
  <w:style w:type="character" w:customStyle="1" w:styleId="Char0">
    <w:name w:val="页脚 Char"/>
    <w:basedOn w:val="a0"/>
    <w:link w:val="a4"/>
    <w:uiPriority w:val="99"/>
    <w:semiHidden/>
    <w:rsid w:val="00D05FA2"/>
    <w:rPr>
      <w:rFonts w:ascii="Tahoma" w:hAnsi="Tahoma"/>
      <w:sz w:val="18"/>
      <w:szCs w:val="18"/>
    </w:rPr>
  </w:style>
  <w:style w:type="character" w:customStyle="1" w:styleId="1Char">
    <w:name w:val="标题 1 Char"/>
    <w:basedOn w:val="a0"/>
    <w:link w:val="1"/>
    <w:uiPriority w:val="9"/>
    <w:rsid w:val="00D05FA2"/>
    <w:rPr>
      <w:rFonts w:ascii="Times New Roman" w:eastAsia="宋体" w:hAnsi="Times New Roman" w:cs="Times New Roman"/>
      <w:b/>
      <w:bCs/>
      <w:color w:val="000000"/>
      <w:kern w:val="44"/>
      <w:sz w:val="44"/>
      <w:szCs w:val="44"/>
      <w:u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cp:lastPrinted>2017-10-26T01:58:00Z</cp:lastPrinted>
  <dcterms:created xsi:type="dcterms:W3CDTF">2008-09-11T17:20:00Z</dcterms:created>
  <dcterms:modified xsi:type="dcterms:W3CDTF">2017-10-26T02:07:00Z</dcterms:modified>
</cp:coreProperties>
</file>